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FB" w:rsidRPr="00E875FB" w:rsidRDefault="00E875FB" w:rsidP="00E875F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E875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Конституционно-правовое обеспечение безопасности </w:t>
      </w:r>
    </w:p>
    <w:tbl>
      <w:tblPr>
        <w:tblW w:w="795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6"/>
        <w:gridCol w:w="4044"/>
      </w:tblGrid>
      <w:tr w:rsidR="00E875FB" w:rsidRPr="00E875FB" w:rsidTr="00E875FB">
        <w:trPr>
          <w:tblCellSpacing w:w="0" w:type="dxa"/>
        </w:trPr>
        <w:tc>
          <w:tcPr>
            <w:tcW w:w="3825" w:type="dxa"/>
            <w:vAlign w:val="center"/>
            <w:hideMark/>
          </w:tcPr>
          <w:bookmarkEnd w:id="0"/>
          <w:p w:rsidR="00E875FB" w:rsidRPr="00E875FB" w:rsidRDefault="00E875FB" w:rsidP="00E87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Автор: Ю.И. Мхитарян, </w:t>
            </w:r>
            <w:r w:rsidRPr="00E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д.э.н., академик Международной академии информатизации,</w:t>
            </w:r>
          </w:p>
          <w:p w:rsidR="00E875FB" w:rsidRPr="00E875FB" w:rsidRDefault="00E875FB" w:rsidP="00E87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Экспертного Совета по связи при Комитете экономической политики Совета Федерации Федерального Собрания Российской Федерации,</w:t>
            </w:r>
          </w:p>
          <w:p w:rsidR="00E875FB" w:rsidRPr="00E875FB" w:rsidRDefault="00E875FB" w:rsidP="00E87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Экспертного Совета по градостроительной деятельности при Комитете Госдумы по земельным отношениям и строительству, председатель Подкомитета по защите деятельности СРО стройкомплекса Национального объединения строителей (НОСТРОЙ)</w:t>
            </w:r>
          </w:p>
        </w:tc>
        <w:tc>
          <w:tcPr>
            <w:tcW w:w="3825" w:type="dxa"/>
            <w:vAlign w:val="center"/>
            <w:hideMark/>
          </w:tcPr>
          <w:p w:rsidR="00E875FB" w:rsidRPr="00E875FB" w:rsidRDefault="00E875FB" w:rsidP="00E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75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54CE53" wp14:editId="067C2431">
                  <wp:extent cx="2381250" cy="3305175"/>
                  <wp:effectExtent l="0" t="0" r="0" b="9525"/>
                  <wp:docPr id="1" name="Рисунок 1" descr="http://www.russia-today.ru/userf2014/image/news/2014-09-28-st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ussia-today.ru/userf2014/image/news/2014-09-28-st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95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6321"/>
      </w:tblGrid>
      <w:tr w:rsidR="00E875FB" w:rsidRPr="00E875FB" w:rsidTr="00E875FB">
        <w:trPr>
          <w:tblCellSpacing w:w="7" w:type="dxa"/>
        </w:trPr>
        <w:tc>
          <w:tcPr>
            <w:tcW w:w="0" w:type="auto"/>
            <w:vAlign w:val="center"/>
            <w:hideMark/>
          </w:tcPr>
          <w:p w:rsidR="00E875FB" w:rsidRPr="00E875FB" w:rsidRDefault="00E875FB" w:rsidP="00E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0" w:type="dxa"/>
            <w:vAlign w:val="center"/>
            <w:hideMark/>
          </w:tcPr>
          <w:p w:rsidR="00E875FB" w:rsidRPr="00E875FB" w:rsidRDefault="00E875FB" w:rsidP="00E87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5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Конституция Российской Федерации гарантирует безопасность, обязывает органы государственного управления совершенствовать законодательство и нести ответственность за выполнение своих обязанностей</w:t>
            </w:r>
          </w:p>
        </w:tc>
      </w:tr>
    </w:tbl>
    <w:p w:rsidR="00E875FB" w:rsidRPr="00E875FB" w:rsidRDefault="00E875FB" w:rsidP="00E87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 провозглашает и гарантирует права и свободы, определяет обязанности, а также ответственность государства, органов госуправления. Основной Закон страны создает также условия для развития гражданского общества, жизни и деятельности человека и гражданина, определяет отношения между субъектами права. Принципы и нормы Конституции РФ выполняют системообразующую роль, являются основой и определяют всю систему национального права.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 реализует общедемократическую концепцию обеспечения и защиты прав человека, как главной функции правового государства. Человек, его права и свободы объявлены высшей ценностью. Признание, соблюдение и защита этих прав</w:t>
      </w:r>
      <w:proofErr w:type="gramStart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обязанностью государства (ст.2 Конституции Российской Федерации).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самым </w:t>
      </w:r>
      <w:r w:rsidRPr="00E87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основополагающий конституционный принцип содержит императивное указание</w:t>
      </w: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государству, органам госуправления, должностным лицам при выполнении своих функций и обязанностей постоянно исходить из приоритета человека, его интересов во всей системе правоотношений.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Важность конституционных норм определяется ст.118 Основного Закона страны, устанавливающей, что судебная власть осуществляется посредством Конституции Российской Федерации, действующим законодательством, например, ст.11 Гражданско-процессуального кодекса Российской Федерации суд обязан разрешать гражданские дела на основании Конституции Российской Федерации. О верховенстве и прямом действии Конституции РФ, ее применении в судебной практике подчеркивает Постановление </w:t>
      </w: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Пленума Верховного суда Российской Федерации от 31.10.1985 г. № 8 «О некоторых вопросах применения судами Конституции Российской Федерации при осуществлении правосудия».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Коренное изменение характера и природы конституционного права нашей страны, выдвижение на первое место регламентацию прав, свобод и защиту человека - важная веха, сделавшая нашу страну полноправным участником мировых демократических процессов, поставивших главными целями социального, экономического развития цивилизации и стран мира</w:t>
      </w:r>
      <w:proofErr w:type="gramStart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 защиту прав человека и гражданина.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демократических странах </w:t>
      </w:r>
      <w:r w:rsidRPr="00E87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государство выступает гарантом обеспечения безопасности человека и гражданина</w:t>
      </w: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является одним из главных критериев обеспечения конкурентоспособности страны в реализации гуманистических принципов, создании наиболее благоприятных условий для жизни людей. Процессы глобализации создают возможность для реализации конкурентных преимуществ не только в экономике, но и в социальной сфере, влияют на подходы, принципы и законодательные нормы обеспечения безопасности, практику их применения.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изменением основополагающих принципов и норм Конституции РФ в нашей стране изменились и подходы к обеспечению безопасности. Если раньше приоритетными были вопросы обеспечения безопасности государства, то сегодня на первом месте стоит безопасность человека, гражданина</w:t>
      </w:r>
      <w:proofErr w:type="gramStart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национальной, государственной безопасности.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proofErr w:type="gramStart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XXI</w:t>
      </w:r>
      <w:proofErr w:type="gramEnd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веке</w:t>
      </w:r>
      <w:proofErr w:type="spellEnd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произошли принципиальные изменения в осознании: безопасность – это создание условий, не угрожающих человеку. В системе норм права рассмотрение понятия «безопасность» как исключительно безопасность государства, сохранение государственного суверенитета перешло к рассмотрению безопасности личности. В соответствии с Федеральным законом «О безопасности» государственная политика в области обеспечения безопасности является частью внутренней и внешней политики страны. Правовую основу обеспечения безопасности составляют Конституция РФ и другие законодательные акты. Сам закон определяет основные принципы и содержание обеспечения безопасности для всех сфер деятельности государства. В соответствии со Стратегией национальной безопасности Российской Федерации до 2020 г. </w:t>
      </w:r>
      <w:r w:rsidRPr="00E87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стратегическими национальными приоритетами</w:t>
      </w: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важнейшими направлениями обеспечения национальной безопасности</w:t>
      </w:r>
      <w:proofErr w:type="gramStart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признаны </w:t>
      </w:r>
      <w:r w:rsidRPr="00E87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направления, реализующие конституционные права и свободы граждан</w:t>
      </w: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Одним из этих направлений является безопасность объектов капитального строительства. Политика национальной безопасности, как система политических, экономических, юридических и иных мер, предпринимаемых государством для обеспечения безопасности объектов капитального строительства, направлена на реализацию конституционных прав и свобод граждан РФ при выполнении работ на таких объектах.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обеспечения безопасности объектов капитального строительства являются составной частью национальной безопасности и имеют конституционную основу, определяющую долгосрочные, приоритетные цели. Обеспечение безопасности достигается применением основополагающих конституционных принципов и норм права, реализующих право на безопасный труд, здоровье и жизнь в условиях безопасности, безопасную окружающую среду, возмещение вреда.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Конституции РФ 2, 7, 15, 16, 17, 18, 20, 37, 41 ,42, 53, 55 гарантируют безопасность здоровья, жизни и деятельности человека в Российской Федерации, являются непосредственно действующими, имеют прямое действие, применяются на всей территории страны. В ч.2 ст.55 указано, что в Российской Федерации не должны издаваться статьи, отменяющие или умаляющие права и свободы человека и гражданина. Согласно ст.18, права и свободы человека, гражданина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Императивное требование признания, соблюдения и защиты прав и свобод человека, гражданина -- обязанность государства (ст.2) -- важно рассматривать в единстве с императивными нормами, определяющими, что никакие другие положения Конституции РФ не могут противоречить основополагающему принципу (ч.2 ст.16), 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(ч.2 ст.15).</w:t>
      </w:r>
      <w:proofErr w:type="gramEnd"/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Дефиниции безопасности: устранение опасности, выявление угроз причинения вреда, реализация предупредительных мер по устранению причинения вреда, создание условий для </w:t>
      </w:r>
      <w:proofErr w:type="spellStart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невозникновения</w:t>
      </w:r>
      <w:proofErr w:type="spellEnd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причинения вреда, возмещение вреда. Таким образом, безопасность объектов капитального строительства обеспечивается деятельностью, направленной на устранение основных признаков, не обеспечивающих безопасность здоровья, жизни и деятельности человека и гражданина.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Конституционно-правовая обязанность российского государства</w:t>
      </w: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обеспечения безопасности объектов капитального строительства</w:t>
      </w:r>
      <w:proofErr w:type="gramStart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приоритетное направление деятельности государственной власти, органов государственного управления, должностных лиц, граждан и правосудия по реализации функций и задач обеспечения безопасности объектов капитального строительства, как одного из направлений обеспечения национальной, государственной безопасности Российской Федерации.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которые при этом решают государственная власть и органы государственного управления: </w:t>
      </w:r>
    </w:p>
    <w:p w:rsidR="00E875FB" w:rsidRPr="00E875FB" w:rsidRDefault="00E875FB" w:rsidP="00E875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законодательное регулирование безопасности объектов капитального строительства</w:t>
      </w:r>
    </w:p>
    <w:p w:rsidR="00E875FB" w:rsidRPr="00E875FB" w:rsidRDefault="00E875FB" w:rsidP="00E875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 защита конституционных основ обеспечения безопасности</w:t>
      </w:r>
    </w:p>
    <w:p w:rsidR="00E875FB" w:rsidRPr="00E875FB" w:rsidRDefault="00E875FB" w:rsidP="00E875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 обеспечение безопасности</w:t>
      </w:r>
    </w:p>
    <w:p w:rsidR="00E875FB" w:rsidRPr="00E875FB" w:rsidRDefault="00E875FB" w:rsidP="00E875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реализация стратегии обеспечения безопасности</w:t>
      </w:r>
    </w:p>
    <w:p w:rsidR="00E875FB" w:rsidRPr="00E875FB" w:rsidRDefault="00E875FB" w:rsidP="00E875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нарушения безопасности и возмещение вреда при выполнении работ на объектах капитального строительства, обеспечение их функционирования.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конституционных норм является основой эффективной правовой системы государства. </w:t>
      </w:r>
      <w:r w:rsidRPr="00E87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и нормы Конституции РФ содержат достаточный потенциал для реализации стратегических основ безопасности</w:t>
      </w: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Конституционно-правовая ответственность Российской Федерации в сфере обеспечения безопасности объектов капитального строительства определена необходимостью защиты интересов государства, общества и личности в этой сфере. На основе конституционных норм формируются законодательные акты, за эффективность которых несет ответственность государственная власть и органы госуправления, что также является гарантией Конституции РФ.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ст.53 Конституции РФ, каждый имеет право на возмещение государством вреда, причиненного незаконными действиями (или бездействием) органов </w:t>
      </w:r>
      <w:proofErr w:type="spellStart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госвласти</w:t>
      </w:r>
      <w:proofErr w:type="spellEnd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их должностных лиц. Демократия эффективна только тогда, когда она востребована, выстроена система ответственности органов государственного управления, должностных лиц, и реализуется активная позиция субъектов права. Рост числа случаев привлечения к ответственности органов госуправления и должностных лиц за незаконные действия (или бездействие), возмещение вреда пострадавшим от этого, свидетельствуют, что демократические процессы углубляются. Таким образом, Конституция РФ определяет принципы, нормы права и ответственность за их нарушения субъектами права, закладывает все необходимое для развития демократического государства, обеспечения безопасности личности, государства, постоянного совершенствования законодательства. Система конституционно-правового регулирования гарантирует обеспечение безопасности человека, гражданина, его здоровья, жизни и деятельности.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основании конституционных норм государственная власть создала законодательный инструмент, определила адекватную конкретизацию и детализацию механизма обеспечения безопасности посредством 23-х императивных норм Градостроительного кодекса Российской Федерации (ст.ст.55.1--55.23), определивших цели, требования, механизм деятельности обязательной системы саморегулирования стройкомплекса.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Реализацией этих норм введена обязательная система саморегулирования стройкомплекса, как современная форма государственного обеспечения безопасности объектов капитального строительства. Это позволило привнести дополнительные ресурсы для развития экономики и совершенствования управления, содействия горизонтальной интеграции участников рынка. Деятельность саморегулируемых организаций посредством императивных норм законодателя за счет средств участников рынка стала новым источником роста экономики путем решения важнейших социальных и государственных задач по обеспечению безопасности человека, его жизни и деятельности, реализацией предупредительных мер по недопущению аварий и катастроф на объектах капитального строительства. Саморегулируемые организации стройкомплекса реализуют конституционные нормы, права человека и гражданина на основе организации деятельности участников рынка в соответствии с Федеральным законом «О безопасности» от 28.12.2010 г. №390.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Саморегулируемые организации стройкомплекса решают задачи по обеспечению безопасности человека и гражданина на объектах капитального строительства за счет: </w:t>
      </w:r>
    </w:p>
    <w:p w:rsidR="00E875FB" w:rsidRPr="00E875FB" w:rsidRDefault="00E875FB" w:rsidP="00E875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требований, стандартов, обязательных для членов СРО;</w:t>
      </w:r>
    </w:p>
    <w:p w:rsidR="00E875FB" w:rsidRPr="00E875FB" w:rsidRDefault="00E875FB" w:rsidP="00E875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правил контроля;</w:t>
      </w:r>
    </w:p>
    <w:p w:rsidR="00E875FB" w:rsidRPr="00E875FB" w:rsidRDefault="00E875FB" w:rsidP="00E875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контроля;</w:t>
      </w:r>
    </w:p>
    <w:p w:rsidR="00E875FB" w:rsidRPr="00E875FB" w:rsidRDefault="00E875FB" w:rsidP="00E875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мер дисциплинарного воздействия;</w:t>
      </w:r>
    </w:p>
    <w:p w:rsidR="00E875FB" w:rsidRPr="00E875FB" w:rsidRDefault="00E875FB" w:rsidP="00E875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имущественной ответственности. 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качестве основной формы имущественной ответственности саморегулируемых организаций законодатель установил компенсационные фонды (КФ)</w:t>
      </w: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формируются за счет средств участников саморегулируемой организации. Эти средства направлены на предупреждение и возмещение причинения вреда.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императивной нормой, установленной государственной властью (ч.4 ст.55.16 Градостроительного кодекса РФ), в целях сохранности средств КФ, законодатель обязал саморегулируемые организации размещать их в российских кредитных организациях в виде депозитов и (или) депозитных сертификатов. Пятилетняя практика показала правильность такого решения, о чем говорит тот факт, что за эти годы не было ни одного случая потери компенсационных фондов по вине кредитной организации, и банки строго обеспечивали их сохранность, рост и доступность.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4 ст. 55.16 Градостроительного кодекса РФ, средства КФ всегда должны быть в сохранности и доступности для саморегулируемой организации, так как в случае необходимости их использования срок возврата из активов кредитной организации не должен превышать 10 дней.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Потеря средств КФ саморегулируемых организаций или невозможность распоряжаться ими по вине российских кредитных организаций </w:t>
      </w:r>
      <w:proofErr w:type="gramStart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недопустимы</w:t>
      </w:r>
      <w:proofErr w:type="gramEnd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является нарушением прав широкого круга лиц, гарантированных Конституцией РФ.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несостоятельностью (банкротством) российских кредитных организаций саморегулируемые организации стройкомплекса лишились доступа к средствам КФ и не могут распорядиться ими в случае необходимости осуществления выплат за причинение вреда жизни и здоровью людей, имуществу физических и юридических лиц, окружающей среде в ходе выполнения работ на объектах капитального строительства.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своих действиях законодатель, исходя из необходимости достижения главной цели</w:t>
      </w:r>
      <w:proofErr w:type="gramStart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сохранность, доступность, увеличение компенсационных фондов -- определил предмет правового регулирования, действия субъектов права и вид хранения (метод регулирования).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нестабильных условиях деятельности российских кредитных организаций в практике </w:t>
      </w:r>
      <w:proofErr w:type="spellStart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правоприменения</w:t>
      </w:r>
      <w:proofErr w:type="spellEnd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императивных норм возникла нетипичная ситуация, выразившаяся в неожиданных трудностях реализации установленных законодателем требований к обеспечению хранения, доступности и роста КФ в российских кредитных организациях. </w:t>
      </w:r>
      <w:r w:rsidRPr="00E87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несостоятельности</w:t>
      </w: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(банкротстве) кредитных организаций в целях обеспечения сохранности КФ </w:t>
      </w:r>
      <w:r w:rsidRPr="00E87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имущество клиентов</w:t>
      </w: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принятое и (или) приобретенное кредитной организацией за их счет по договорам хранения, договорам доверительного управления, </w:t>
      </w:r>
      <w:r w:rsidRPr="00E87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исключается из имущества кредитной организации (конкурсной массы)</w:t>
      </w: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единственный путь обеспечения сохранности имущества клиента, и реализован он в ч. 2 ст. 50.35 ФЗ «О несостоятельности (банкротстве) кредитных организаций». Однако в перечне исключаемого имущества компенсационные фонды саморегулируемых организаций не значатся.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Нетипичная ситуация в правоприменительной деятельности выявила необходимость изменения логически связанной последовательности действий, из которых складывается процедура обеспечения хранения средств КФ в российских кредитных организациях.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обычных условиях законодатель обеспечил правоприменительную процедуру, а в измененных</w:t>
      </w:r>
      <w:proofErr w:type="gramStart"/>
      <w:r w:rsidRPr="00E87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-- </w:t>
      </w:r>
      <w:proofErr w:type="gramEnd"/>
      <w:r w:rsidRPr="00E87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нет.</w:t>
      </w: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саморегулирования стройкомплекса была введена в 2008 г., и с тех пор Федеральный закон «О несостоятельности (банкротстве) российских кредитных организаций» не был адаптирован с целью обеспечения сохранности средств КФ в российских кредитных организациях в условиях нестабильности. </w:t>
      </w:r>
      <w:proofErr w:type="gramStart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Возникла ситуация юридического пробела и коллизии законов в силу отсутствия правовой нормы, определяющей регулирование хранения, доступности, роста компенсационных фондов в условиях банкротства банков и противоречия между конституционной нормой, требованием императивной нормы (п.4 ст.55.16 Градостроительного кодекса РФ) обеспечения хранения средств компенсационных фондов в российских кредитных организациях и нормами права Федерального закона «О несостоятельности (банкротстве) российских кредитных организаций».</w:t>
      </w:r>
      <w:proofErr w:type="gramEnd"/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30 крупных саморегулируемых организаций, представляющих порядка 20 тыс. организаций и более 1 </w:t>
      </w:r>
      <w:proofErr w:type="gramStart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уже оказались в числе пострадавших. Саморегулируемые организации лишились возможности доступа к средствам КФ и, следовательно, не могут распоряжаться ими в случае необходимости выплат за причинение вреда жизни и здоровью людей, имуществу физических и юридических лиц, окружающей среде в ходе выполнения работ на объектах капитального строительства. Образовался системный сбой в реализации конституционной нормы по обеспечению прав человека при выполнении работ на объектах капитального строительства. Потеря средств КФ саморегулируемых организаций или невозможность доступа к ним по вине российских кредитных организаций недопустима. Это нарушение прав широкого круга лиц, гарантированных Конституцией РФ.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важно обратить внимание на то, что </w:t>
      </w:r>
      <w:r w:rsidRPr="00E87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кредитная организация оказывает</w:t>
      </w: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саморегулируемой организации </w:t>
      </w:r>
      <w:r w:rsidRPr="00E87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услугу по обеспечению сохранности компенсационных фондов на основе императивного требования законодателя</w:t>
      </w: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 есть, это требование должно быть выполнено всегда) и реализации конституционных норм прямого и непосредственного действия. В этих условиях ч. 2 ст. 50.35 ФЗ «О несостоятельности (банкротстве) кредитных организаций» вступает в противоречие с конституционной нормой прямого и непосредственного действия. Таким образом, не может быть применена аргументация об отсутствии средств КФ в перечне имущества банка, исключаемого из конкурсной массы, и на этом основании средства компенсационных фондов не могут быть исключены из конкурсной массы.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Противоречие состоит в том, что не учитывается императивная норма, установленная законодателем</w:t>
      </w:r>
      <w:proofErr w:type="gramStart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-- </w:t>
      </w:r>
      <w:proofErr w:type="gramEnd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сохранность средств КФ -- основную форму имущественной ответственности СРО.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законодатель своевременно не расширил перечень исключаемого имущества саморегулируемых организаций (компенсационных сре</w:t>
      </w:r>
      <w:proofErr w:type="gramStart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в</w:t>
      </w:r>
      <w:proofErr w:type="gramEnd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 депозитов) такая возможность в ч. 2 ст. 50.35 ФЗ «О несостоятельности (банкротстве) кредитных организаций» заложена. Из конкурсной массы может быть исключено и </w:t>
      </w:r>
      <w:r w:rsidRPr="00E87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иное имущество</w:t>
      </w: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РФ. Необходимость исключения компенсационных фондов из конкурсной массы доказывают следующие юридические обстоятельства: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9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0"/>
        <w:gridCol w:w="7620"/>
      </w:tblGrid>
      <w:tr w:rsidR="00E875FB" w:rsidRPr="00E875FB" w:rsidTr="00E875FB">
        <w:trPr>
          <w:tblCellSpacing w:w="0" w:type="dxa"/>
        </w:trPr>
        <w:tc>
          <w:tcPr>
            <w:tcW w:w="0" w:type="auto"/>
            <w:hideMark/>
          </w:tcPr>
          <w:p w:rsidR="00E875FB" w:rsidRPr="00E875FB" w:rsidRDefault="00E875FB" w:rsidP="00E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E875FB" w:rsidRPr="00E875FB" w:rsidRDefault="00E875FB" w:rsidP="00E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п.1 ст.14 Федерального закона «О саморегулируемых организациях», саморегулируемым организациям запрещается заниматься предпринимательской деятельностью, т.е. деятельностью, направленной на систематическое получение прибыли (ч.3 п.1 ст.2 Гражданского кодекса Российской Федерации).</w:t>
            </w:r>
          </w:p>
          <w:p w:rsidR="00E875FB" w:rsidRPr="00E875FB" w:rsidRDefault="00E875FB" w:rsidP="00E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другие субъекты права размещают денежные средства в депозитах банка с целью получения систематической прибыли, то саморегулируемые организации размещают средства компенсационных фондов только для выполнения императивной нормы законодателя (ст. 55.16 Градостроительного кодекса Российской Федерации).</w:t>
            </w:r>
          </w:p>
        </w:tc>
      </w:tr>
      <w:tr w:rsidR="00E875FB" w:rsidRPr="00E875FB" w:rsidTr="00E875FB">
        <w:trPr>
          <w:tblCellSpacing w:w="0" w:type="dxa"/>
        </w:trPr>
        <w:tc>
          <w:tcPr>
            <w:tcW w:w="0" w:type="auto"/>
            <w:hideMark/>
          </w:tcPr>
          <w:p w:rsidR="00E875FB" w:rsidRPr="00E875FB" w:rsidRDefault="00E875FB" w:rsidP="00E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0" w:type="auto"/>
            <w:vAlign w:val="center"/>
            <w:hideMark/>
          </w:tcPr>
          <w:p w:rsidR="00E875FB" w:rsidRPr="00E875FB" w:rsidRDefault="00E875FB" w:rsidP="00E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Доход, полученный от размещения компенсационного фонда, не используется в текущей деятельности саморегулируемой организации и направляется на пополнение компенсационного фонда (п. 7 ст. 13 ФЗ «О саморегулируемых организациях») для обеспечения имущественной ответственности, доступности сре</w:t>
            </w:r>
            <w:proofErr w:type="gramStart"/>
            <w:r w:rsidRPr="00E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E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возмещении вреда, причиненного третьим лицам, выполнения задач, установленных государственной властью.</w:t>
            </w:r>
          </w:p>
        </w:tc>
      </w:tr>
      <w:tr w:rsidR="00E875FB" w:rsidRPr="00E875FB" w:rsidTr="00E875FB">
        <w:trPr>
          <w:tblCellSpacing w:w="0" w:type="dxa"/>
        </w:trPr>
        <w:tc>
          <w:tcPr>
            <w:tcW w:w="0" w:type="auto"/>
            <w:hideMark/>
          </w:tcPr>
          <w:p w:rsidR="00E875FB" w:rsidRPr="00E875FB" w:rsidRDefault="00E875FB" w:rsidP="00E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0" w:type="auto"/>
            <w:vAlign w:val="center"/>
            <w:hideMark/>
          </w:tcPr>
          <w:p w:rsidR="00E875FB" w:rsidRPr="00E875FB" w:rsidRDefault="00E875FB" w:rsidP="00E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Статьями 886, 1012, ч. 1 ст. 393, </w:t>
            </w:r>
            <w:proofErr w:type="spellStart"/>
            <w:r w:rsidRPr="00E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ст.ст</w:t>
            </w:r>
            <w:proofErr w:type="spellEnd"/>
            <w:r w:rsidRPr="00E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901, 902 Гражданского кодекса РФ законодатель императивной нормой определил требования к услугам по обеспечению сохранности имущества клиентов, переданного на хранение. Услуга по обеспечению сохранности имущества (компенсационных фондов) входит в обособленную группу юридических норм (институт права), регулирующих качественно однородные общественные отношения по предоставлению услуги клиентам по сохранению, управлению имуществом. Главное, что объединят группу этих юридических норм – это предмет регулирования – обеспечение сохранности имущества клиента. Метод регулирования – договор хранения, договор доверительного управления, договор депозита средств компенсационных фондов (понятие, введенное законодателем в соответствии с императивной нормой) вторичен, играет не основную, а вспомогательную роль;</w:t>
            </w:r>
          </w:p>
        </w:tc>
      </w:tr>
      <w:tr w:rsidR="00E875FB" w:rsidRPr="00E875FB" w:rsidTr="00E875FB">
        <w:trPr>
          <w:tblCellSpacing w:w="0" w:type="dxa"/>
        </w:trPr>
        <w:tc>
          <w:tcPr>
            <w:tcW w:w="0" w:type="auto"/>
            <w:hideMark/>
          </w:tcPr>
          <w:p w:rsidR="00E875FB" w:rsidRPr="00E875FB" w:rsidRDefault="00E875FB" w:rsidP="00E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0" w:type="auto"/>
            <w:vAlign w:val="center"/>
            <w:hideMark/>
          </w:tcPr>
          <w:p w:rsidR="00E875FB" w:rsidRPr="00E875FB" w:rsidRDefault="00E875FB" w:rsidP="00E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ч. 1 ст. 56 Гражданского кодекса Российской Федерации, т.к. юридическое лицо несет ответственность по своим обязательствам только своим имуществом и не может отвечать имуществом клиента. Компенсационные фонды не являются имуществом кредитной организации, поэтому банк не может отвечать чужим имуществом по своим обязательствам;</w:t>
            </w:r>
          </w:p>
        </w:tc>
      </w:tr>
      <w:tr w:rsidR="00E875FB" w:rsidRPr="00E875FB" w:rsidTr="00E875FB">
        <w:trPr>
          <w:tblCellSpacing w:w="0" w:type="dxa"/>
        </w:trPr>
        <w:tc>
          <w:tcPr>
            <w:tcW w:w="0" w:type="auto"/>
            <w:hideMark/>
          </w:tcPr>
          <w:p w:rsidR="00E875FB" w:rsidRPr="00E875FB" w:rsidRDefault="00E875FB" w:rsidP="00E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0" w:type="auto"/>
            <w:vAlign w:val="center"/>
            <w:hideMark/>
          </w:tcPr>
          <w:p w:rsidR="00E875FB" w:rsidRPr="00E875FB" w:rsidRDefault="00E875FB" w:rsidP="00E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частью 4 ст. 55.16 Градостроительного кодекса РФ законодатель определил банкам предоставлять услуги по обеспечению сохранности, доступности, роста компенсационных фондов, и тем самым реализовать конституционные нормы прямого и непосредственного действия (</w:t>
            </w:r>
            <w:proofErr w:type="spellStart"/>
            <w:r w:rsidRPr="00E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ст.ст</w:t>
            </w:r>
            <w:proofErr w:type="spellEnd"/>
            <w:r w:rsidRPr="00E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 15. 16, 18 и др. Конституции Российской Федерации).</w:t>
            </w:r>
          </w:p>
        </w:tc>
      </w:tr>
      <w:tr w:rsidR="00E875FB" w:rsidRPr="00E875FB" w:rsidTr="00E875FB">
        <w:trPr>
          <w:tblCellSpacing w:w="0" w:type="dxa"/>
        </w:trPr>
        <w:tc>
          <w:tcPr>
            <w:tcW w:w="0" w:type="auto"/>
            <w:hideMark/>
          </w:tcPr>
          <w:p w:rsidR="00E875FB" w:rsidRPr="00E875FB" w:rsidRDefault="00E875FB" w:rsidP="00E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6.</w:t>
            </w:r>
          </w:p>
        </w:tc>
        <w:tc>
          <w:tcPr>
            <w:tcW w:w="0" w:type="auto"/>
            <w:vAlign w:val="center"/>
            <w:hideMark/>
          </w:tcPr>
          <w:p w:rsidR="00E875FB" w:rsidRPr="00E875FB" w:rsidRDefault="00E875FB" w:rsidP="00E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Компенсационный фонд СРО стройкомплекса направлен на реализацию конституционных норм, обеспечение имущественной ответственности, разработку и реализацию мероприятий, предотвращающих гибель граждан, причинение вреда их жизни и здоровью, предупреждение аварий, катастроф (</w:t>
            </w:r>
            <w:proofErr w:type="spellStart"/>
            <w:r w:rsidRPr="00E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ст.ст</w:t>
            </w:r>
            <w:proofErr w:type="spellEnd"/>
            <w:r w:rsidRPr="00E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2, 7, 15, 17, 20, 35, 41, 42, 45, 53, 58 и др. Конституции Российской Федерации; ст. 55.1 ГСК РФ; ряд норм Федерального закона «Технический регламент о безопасности зданий и сооружений»). Законы не должны вступать в противоречие с конституционными нормами, а обеспечивать их реализацию.</w:t>
            </w:r>
          </w:p>
        </w:tc>
      </w:tr>
      <w:tr w:rsidR="00E875FB" w:rsidRPr="00E875FB" w:rsidTr="00E875FB">
        <w:trPr>
          <w:tblCellSpacing w:w="0" w:type="dxa"/>
        </w:trPr>
        <w:tc>
          <w:tcPr>
            <w:tcW w:w="0" w:type="auto"/>
            <w:hideMark/>
          </w:tcPr>
          <w:p w:rsidR="00E875FB" w:rsidRPr="00E875FB" w:rsidRDefault="00E875FB" w:rsidP="00E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0" w:type="auto"/>
            <w:vAlign w:val="center"/>
            <w:hideMark/>
          </w:tcPr>
          <w:p w:rsidR="00E875FB" w:rsidRPr="00E875FB" w:rsidRDefault="00E875FB" w:rsidP="00E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доступа к средствам компенсационного фонда саморегулируемых организаций стройкомплекса, необеспечение их сохранности приводит к нарушению законных интересов Российской Федерации (ст. 71 Конституции РФ), снижению безопасности и причинению вреда неограниченному кругу лиц страны.</w:t>
            </w:r>
          </w:p>
        </w:tc>
      </w:tr>
    </w:tbl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видно, каждая из этих позиций достаточна для принятия необходимого решения. Конституционно-правовое регулирование безопасности позволяет обеспечивать сохранность компенсационных фондов в российской кредитной системе, а, следовательно, реализовывать Стратегию национальной безопасности 2020.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внесение дополнений в ст. 50.35 ФЗ «О несостоятельности (банкротстве) кредитных организаций» об исключении компенсационных фондов из конкурсной массы сделает закон более доступным для граждан и всех слоев общества, независимо от их правовой просвещенности. Вносимые изменения позволят ликвидировать сложившийся правовой пробел, а арбитражные судьи получат правовое основание при вынесении определений в процесс арбитражного судопроизводства. Они не только соответствуют законодательству Российской Федерации, но и обеспечат сохранность компенсационных фондов, повысят эффективность банковской системы, позволят системно подойти к конституционно-правовому обеспечению безопасности объектов капитального строительства и защиты прав человека, гражданина.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вышеизложенного, а также в целях устранения существующих правовых пробелов и неопределенности в действующем законодательстве Российской Федерации, регулирующем вопросы сохранности компенсационных фондов саморегулируемых организаций стройкомплекса и недопущения вытекающих из этого негативных последствий, создающих потенциально опасные ситуации, предлагается расширить перечень имущества клиентов банков-банкротов, исключаемого из конкурсной массы, имуществом компенсационных фондов саморегулируемых организаций стройкомплекса, размещенных на депозитах.</w:t>
      </w:r>
      <w:proofErr w:type="gramEnd"/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должен быть проект ФЗ для внесения изменений в ФЗ «О несостоятельности (банкротстве) кредитных организаций»?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должен состоять из двух статей: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     Статью 50.35 дополнить частью 5 следующего содержания: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</w:t>
      </w:r>
      <w:proofErr w:type="gramStart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компенсационных фондов саморегулируемых организаций стройкомплекса, размещенные в депозитах (депозитных сертификатах) кредитных организаций Российской Федерации, не подлежат включению в конкурсную массу должника и подлежат возврату кредиторам – саморегулируемым организациям стройкомплекса по первому требованию в течение десяти рабочих дней в объеме размещенных денежных средств с учетом причитающихся процентов вне очередности, установленной статьей 50.36 настоящего Закона, а также Федеральным законом «О несостоятельности (банкротстве</w:t>
      </w:r>
      <w:proofErr w:type="gramEnd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 в </w:t>
      </w: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хронологическом порядке поступления требований соответствующих кредиторов - саморегулируемых организаций стройкомплекса».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вступает в силу со дня его официального опубликования и распространяется на правоотношения, возникшие до введения его в действие, связанные с обеспечением сохранности компенсационных фондов саморегулируемых организаций строительного комплекса в российских кредитных организациях.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признавая, что законодатель ставил целью правовой нормы (ч. 4 ст. 55.16 Градостроительного кодекса Российской Федерации) обеспечение сохранности КФ саморегулируемых организаций стройкомплекса, средства компенсационных фондов всегда должны быть в сохранности и доступности, с установленным сроком возврата их из активов кредитных организаций в 10-дневный срок имущество саморегулируемой организации должно исключаться из конкурсной массы банков при их банкротстве.</w:t>
      </w:r>
      <w:proofErr w:type="gramEnd"/>
    </w:p>
    <w:p w:rsidR="00E875FB" w:rsidRPr="00E875FB" w:rsidRDefault="00E875FB" w:rsidP="00E8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системное применение конституционно-правового регулирования безопасности, применительно к объектам капитального строительства, позволит:</w:t>
      </w:r>
    </w:p>
    <w:p w:rsidR="00E875FB" w:rsidRPr="00E875FB" w:rsidRDefault="00E875FB" w:rsidP="00E875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правовой механизм, обеспечивающий защиту деятельности саморегулируемых организаций стройкомплекса в условиях резкого роста числа банкротств российских кредитных организаций;</w:t>
      </w:r>
    </w:p>
    <w:p w:rsidR="00E875FB" w:rsidRPr="00E875FB" w:rsidRDefault="00E875FB" w:rsidP="00E875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основополагающие конституционные нормы и гармонизировать Градостроительный кодекс Российской Федерации с другими нормативно-правовыми актами РФ;</w:t>
      </w:r>
    </w:p>
    <w:p w:rsidR="00E875FB" w:rsidRPr="00E875FB" w:rsidRDefault="00E875FB" w:rsidP="00E875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 негативных общественных процессов и возможного социального взрыва;</w:t>
      </w:r>
    </w:p>
    <w:p w:rsidR="00E875FB" w:rsidRPr="00E875FB" w:rsidRDefault="00E875FB" w:rsidP="00E875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доверие к действующей государственной власти и внести вклад в развитие правового государства;</w:t>
      </w:r>
    </w:p>
    <w:p w:rsidR="00E875FB" w:rsidRPr="00E875FB" w:rsidRDefault="00E875FB" w:rsidP="00E875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 недостатки и пробелы правового регулирования деятельности саморегулируемых организаций;</w:t>
      </w:r>
    </w:p>
    <w:p w:rsidR="00E875FB" w:rsidRPr="00E875FB" w:rsidRDefault="00E875FB" w:rsidP="00E875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 потенциально опасных ситуаций, связанных с банкротством банков;</w:t>
      </w:r>
    </w:p>
    <w:p w:rsidR="00E875FB" w:rsidRPr="00E875FB" w:rsidRDefault="00E875FB" w:rsidP="00E875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условия для возможных финансовых нарушений;</w:t>
      </w:r>
    </w:p>
    <w:p w:rsidR="00E875FB" w:rsidRPr="00E875FB" w:rsidRDefault="00E875FB" w:rsidP="00E875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допустить ущемления прав широкого круга лиц;</w:t>
      </w:r>
    </w:p>
    <w:p w:rsidR="00E875FB" w:rsidRPr="00E875FB" w:rsidRDefault="00E875FB" w:rsidP="00E875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реализацию конституционных норм, прав человека и гражданина, безопасность здоровью, жизни и деятельности.</w:t>
      </w:r>
    </w:p>
    <w:p w:rsidR="00E875FB" w:rsidRPr="00E875FB" w:rsidRDefault="00E875FB" w:rsidP="00E875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FB">
        <w:rPr>
          <w:rFonts w:ascii="Times New Roman" w:eastAsia="Times New Roman" w:hAnsi="Times New Roman" w:cs="Times New Roman"/>
          <w:sz w:val="24"/>
          <w:szCs w:val="24"/>
          <w:lang w:eastAsia="ru-RU"/>
        </w:rPr>
        <w:t>"РФ-сегодня"</w:t>
      </w:r>
    </w:p>
    <w:p w:rsidR="00644A29" w:rsidRDefault="00644A29"/>
    <w:sectPr w:rsidR="0064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4499"/>
    <w:multiLevelType w:val="multilevel"/>
    <w:tmpl w:val="EC04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82E65"/>
    <w:multiLevelType w:val="multilevel"/>
    <w:tmpl w:val="463A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C35E36"/>
    <w:multiLevelType w:val="multilevel"/>
    <w:tmpl w:val="F56A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20"/>
    <w:rsid w:val="00644A29"/>
    <w:rsid w:val="00E875FB"/>
    <w:rsid w:val="00F1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3784</Words>
  <Characters>21569</Characters>
  <Application>Microsoft Office Word</Application>
  <DocSecurity>0</DocSecurity>
  <Lines>179</Lines>
  <Paragraphs>50</Paragraphs>
  <ScaleCrop>false</ScaleCrop>
  <Company/>
  <LinksUpToDate>false</LinksUpToDate>
  <CharactersWithSpaces>25303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Reshetova</dc:creator>
  <cp:keywords/>
  <dc:description/>
  <cp:lastModifiedBy>Alena Reshetova</cp:lastModifiedBy>
  <cp:revision>2</cp:revision>
  <dcterms:created xsi:type="dcterms:W3CDTF">2014-08-28T10:09:00Z</dcterms:created>
  <dcterms:modified xsi:type="dcterms:W3CDTF">2014-08-28T10:09:00Z</dcterms:modified>
</cp:coreProperties>
</file>